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D817B" w14:textId="1C7F187F" w:rsidR="00C44E12" w:rsidRPr="00C44E12" w:rsidRDefault="00C44E12" w:rsidP="00C44E12"/>
    <w:p w14:paraId="6B31928A" w14:textId="11A075D3" w:rsidR="00DA48B6" w:rsidRPr="00CC7A73" w:rsidRDefault="00DA48B6" w:rsidP="00DA48B6">
      <w:pPr>
        <w:rPr>
          <w:b/>
          <w:bCs/>
        </w:rPr>
      </w:pPr>
      <w:r w:rsidRPr="00CC7A73">
        <w:rPr>
          <w:b/>
          <w:bCs/>
        </w:rPr>
        <w:t>ONE Community Conference</w:t>
      </w:r>
    </w:p>
    <w:p w14:paraId="53D4E9E8" w14:textId="4FC96BF1" w:rsidR="00DA48B6" w:rsidRDefault="00DA48B6" w:rsidP="00DA48B6">
      <w:r>
        <w:t>Portals to the Past and Present: Instructional pedagogy with primary sources workshop</w:t>
      </w:r>
    </w:p>
    <w:p w14:paraId="7D3EEC0A" w14:textId="524E42C9" w:rsidR="00DA48B6" w:rsidRDefault="00617DE4" w:rsidP="00DA48B6">
      <w:r>
        <w:rPr>
          <w:noProof/>
        </w:rPr>
        <w:drawing>
          <wp:anchor distT="0" distB="0" distL="114300" distR="114300" simplePos="0" relativeHeight="251658240" behindDoc="0" locked="0" layoutInCell="1" allowOverlap="1" wp14:anchorId="18FD4719" wp14:editId="62472B48">
            <wp:simplePos x="0" y="0"/>
            <wp:positionH relativeFrom="column">
              <wp:posOffset>0</wp:posOffset>
            </wp:positionH>
            <wp:positionV relativeFrom="paragraph">
              <wp:posOffset>242570</wp:posOffset>
            </wp:positionV>
            <wp:extent cx="5943600" cy="2489200"/>
            <wp:effectExtent l="0" t="0" r="0" b="0"/>
            <wp:wrapSquare wrapText="bothSides"/>
            <wp:docPr id="2" name="Picture 2" descr="A group of people sitting at a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052.jpg"/>
                    <pic:cNvPicPr/>
                  </pic:nvPicPr>
                  <pic:blipFill rotWithShape="1">
                    <a:blip r:embed="rId5" cstate="print">
                      <a:extLst>
                        <a:ext uri="{28A0092B-C50C-407E-A947-70E740481C1C}">
                          <a14:useLocalDpi xmlns:a14="http://schemas.microsoft.com/office/drawing/2010/main" val="0"/>
                        </a:ext>
                      </a:extLst>
                    </a:blip>
                    <a:srcRect b="44160"/>
                    <a:stretch/>
                  </pic:blipFill>
                  <pic:spPr bwMode="auto">
                    <a:xfrm>
                      <a:off x="0" y="0"/>
                      <a:ext cx="5943600" cy="248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0E38F6" w14:textId="66182E92" w:rsidR="00DA48B6" w:rsidRDefault="00DA48B6" w:rsidP="00DA48B6"/>
    <w:p w14:paraId="41FC46BD" w14:textId="656F26D7" w:rsidR="00366D4F" w:rsidRDefault="00C44E12" w:rsidP="00C44E12">
      <w:r w:rsidRPr="0029119A">
        <w:t xml:space="preserve">Latin American indigenous </w:t>
      </w:r>
      <w:r>
        <w:t xml:space="preserve">cultures and </w:t>
      </w:r>
      <w:r w:rsidRPr="0029119A">
        <w:t xml:space="preserve">knowledge are often absent or poorly represented in </w:t>
      </w:r>
      <w:r w:rsidR="000B0DD5">
        <w:t xml:space="preserve">K-12 </w:t>
      </w:r>
      <w:r w:rsidRPr="0029119A">
        <w:t xml:space="preserve">education curriculum. However, teaching with these sources provide opportunities for students to learn about and engage with different knowledge production and transmission developed in diverse cultural contexts, languages and through non-textual communication systems. </w:t>
      </w:r>
    </w:p>
    <w:p w14:paraId="5FBF8243" w14:textId="77777777" w:rsidR="00366D4F" w:rsidRDefault="00366D4F" w:rsidP="00C44E12"/>
    <w:p w14:paraId="6164C782" w14:textId="4249ACA6" w:rsidR="000B0DD5" w:rsidRDefault="00C44E12" w:rsidP="0029119A">
      <w:pPr>
        <w:rPr>
          <w:sz w:val="22"/>
          <w:szCs w:val="22"/>
        </w:rPr>
      </w:pPr>
      <w:r>
        <w:t xml:space="preserve">This spring, </w:t>
      </w:r>
      <w:r>
        <w:rPr>
          <w:rFonts w:ascii="Calibri" w:hAnsi="Calibri" w:cs="Calibri"/>
        </w:rPr>
        <w:t>Dr. Michelle Wibbelsman</w:t>
      </w:r>
      <w:r w:rsidR="00366D4F">
        <w:rPr>
          <w:rFonts w:ascii="Calibri" w:hAnsi="Calibri" w:cs="Calibri"/>
        </w:rPr>
        <w:t xml:space="preserve"> (</w:t>
      </w:r>
      <w:r w:rsidR="00366D4F" w:rsidRPr="000D1087">
        <w:rPr>
          <w:sz w:val="22"/>
          <w:szCs w:val="22"/>
        </w:rPr>
        <w:t>Associate Professor</w:t>
      </w:r>
      <w:r w:rsidR="00366D4F">
        <w:rPr>
          <w:sz w:val="22"/>
          <w:szCs w:val="22"/>
        </w:rPr>
        <w:t xml:space="preserve"> of Latin American Indigenous Cultures)</w:t>
      </w:r>
      <w:r>
        <w:rPr>
          <w:rFonts w:ascii="Calibri" w:hAnsi="Calibri" w:cs="Calibri"/>
        </w:rPr>
        <w:t xml:space="preserve"> </w:t>
      </w:r>
      <w:r w:rsidR="00366D4F">
        <w:rPr>
          <w:rFonts w:ascii="Calibri" w:hAnsi="Calibri" w:cs="Calibri"/>
        </w:rPr>
        <w:t xml:space="preserve">Dr. </w:t>
      </w:r>
      <w:r>
        <w:rPr>
          <w:rFonts w:ascii="Calibri" w:hAnsi="Calibri" w:cs="Calibri"/>
        </w:rPr>
        <w:t>Eric Johnson</w:t>
      </w:r>
      <w:r w:rsidR="00366D4F">
        <w:rPr>
          <w:rFonts w:ascii="Calibri" w:hAnsi="Calibri" w:cs="Calibri"/>
        </w:rPr>
        <w:t xml:space="preserve"> (</w:t>
      </w:r>
      <w:r w:rsidR="00366D4F" w:rsidRPr="000D1087">
        <w:rPr>
          <w:sz w:val="22"/>
          <w:szCs w:val="22"/>
        </w:rPr>
        <w:t>Curator</w:t>
      </w:r>
      <w:r w:rsidR="00366D4F">
        <w:rPr>
          <w:sz w:val="22"/>
          <w:szCs w:val="22"/>
        </w:rPr>
        <w:t>,</w:t>
      </w:r>
      <w:r w:rsidR="00366D4F" w:rsidRPr="000D1087">
        <w:rPr>
          <w:sz w:val="22"/>
          <w:szCs w:val="22"/>
        </w:rPr>
        <w:t xml:space="preserve"> </w:t>
      </w:r>
      <w:r w:rsidR="00366D4F">
        <w:rPr>
          <w:sz w:val="22"/>
          <w:szCs w:val="22"/>
        </w:rPr>
        <w:t>Thompson Library Special Collections)</w:t>
      </w:r>
      <w:r w:rsidR="00366D4F" w:rsidRPr="000D1087">
        <w:rPr>
          <w:sz w:val="22"/>
          <w:szCs w:val="22"/>
        </w:rPr>
        <w:t xml:space="preserve"> Library</w:t>
      </w:r>
      <w:r>
        <w:rPr>
          <w:rFonts w:ascii="Calibri" w:hAnsi="Calibri" w:cs="Calibri"/>
        </w:rPr>
        <w:t>, Pamela Espinosa de los Monteros</w:t>
      </w:r>
      <w:r w:rsidR="00366D4F">
        <w:rPr>
          <w:rFonts w:ascii="Calibri" w:hAnsi="Calibri" w:cs="Calibri"/>
        </w:rPr>
        <w:t xml:space="preserve"> (Latin American </w:t>
      </w:r>
      <w:r w:rsidR="00C43B6D">
        <w:rPr>
          <w:rFonts w:ascii="Calibri" w:hAnsi="Calibri" w:cs="Calibri"/>
        </w:rPr>
        <w:t>Studies</w:t>
      </w:r>
      <w:r w:rsidR="00366D4F">
        <w:rPr>
          <w:rFonts w:ascii="Calibri" w:hAnsi="Calibri" w:cs="Calibri"/>
        </w:rPr>
        <w:t xml:space="preserve"> Librarian)</w:t>
      </w:r>
      <w:r>
        <w:rPr>
          <w:rFonts w:ascii="Calibri" w:hAnsi="Calibri" w:cs="Calibri"/>
        </w:rPr>
        <w:t xml:space="preserve">, and Stephanie </w:t>
      </w:r>
      <w:proofErr w:type="spellStart"/>
      <w:r>
        <w:rPr>
          <w:rFonts w:ascii="Calibri" w:hAnsi="Calibri" w:cs="Calibri"/>
        </w:rPr>
        <w:t>Porrata</w:t>
      </w:r>
      <w:proofErr w:type="spellEnd"/>
      <w:r w:rsidR="00366D4F">
        <w:rPr>
          <w:rFonts w:ascii="Calibri" w:hAnsi="Calibri" w:cs="Calibri"/>
        </w:rPr>
        <w:t xml:space="preserve"> (Mary P. Key Resident Librarian in Area Studies)</w:t>
      </w:r>
      <w:r>
        <w:rPr>
          <w:rFonts w:ascii="Calibri" w:hAnsi="Calibri" w:cs="Calibri"/>
        </w:rPr>
        <w:t>, developed the P</w:t>
      </w:r>
      <w:r w:rsidRPr="00FA75AC">
        <w:rPr>
          <w:rFonts w:ascii="Calibri" w:hAnsi="Calibri" w:cs="Calibri"/>
          <w:i/>
          <w:iCs/>
        </w:rPr>
        <w:t>ortals</w:t>
      </w:r>
      <w:r>
        <w:rPr>
          <w:rFonts w:ascii="Calibri" w:hAnsi="Calibri" w:cs="Calibri"/>
          <w:i/>
          <w:iCs/>
        </w:rPr>
        <w:t xml:space="preserve"> </w:t>
      </w:r>
      <w:r w:rsidRPr="00FA75AC">
        <w:rPr>
          <w:rFonts w:ascii="Calibri" w:hAnsi="Calibri" w:cs="Calibri"/>
          <w:i/>
          <w:iCs/>
        </w:rPr>
        <w:t>to</w:t>
      </w:r>
      <w:r>
        <w:rPr>
          <w:rFonts w:ascii="Calibri" w:hAnsi="Calibri" w:cs="Calibri"/>
          <w:i/>
          <w:iCs/>
        </w:rPr>
        <w:t xml:space="preserve"> </w:t>
      </w:r>
      <w:r w:rsidRPr="00FA75AC">
        <w:rPr>
          <w:rFonts w:ascii="Calibri" w:hAnsi="Calibri" w:cs="Calibri"/>
          <w:i/>
          <w:iCs/>
        </w:rPr>
        <w:t>the</w:t>
      </w:r>
      <w:r>
        <w:rPr>
          <w:rFonts w:ascii="Calibri" w:hAnsi="Calibri" w:cs="Calibri"/>
          <w:i/>
          <w:iCs/>
        </w:rPr>
        <w:t xml:space="preserve"> P</w:t>
      </w:r>
      <w:r w:rsidRPr="00FA75AC">
        <w:rPr>
          <w:rFonts w:ascii="Calibri" w:hAnsi="Calibri" w:cs="Calibri"/>
          <w:i/>
          <w:iCs/>
        </w:rPr>
        <w:t>ast</w:t>
      </w:r>
      <w:r>
        <w:rPr>
          <w:rFonts w:ascii="Calibri" w:hAnsi="Calibri" w:cs="Calibri"/>
          <w:i/>
          <w:iCs/>
        </w:rPr>
        <w:t xml:space="preserve"> </w:t>
      </w:r>
      <w:r w:rsidRPr="00FA75AC">
        <w:rPr>
          <w:rFonts w:ascii="Calibri" w:hAnsi="Calibri" w:cs="Calibri"/>
          <w:i/>
          <w:iCs/>
        </w:rPr>
        <w:t xml:space="preserve">and </w:t>
      </w:r>
      <w:r>
        <w:rPr>
          <w:rFonts w:ascii="Calibri" w:hAnsi="Calibri" w:cs="Calibri"/>
          <w:i/>
          <w:iCs/>
        </w:rPr>
        <w:t>P</w:t>
      </w:r>
      <w:r w:rsidRPr="00FA75AC">
        <w:rPr>
          <w:rFonts w:ascii="Calibri" w:hAnsi="Calibri" w:cs="Calibri"/>
          <w:i/>
          <w:iCs/>
        </w:rPr>
        <w:t>resent: Instructional pedagogy with primary sources</w:t>
      </w:r>
      <w:r>
        <w:rPr>
          <w:rFonts w:ascii="Calibri" w:hAnsi="Calibri" w:cs="Calibri"/>
          <w:i/>
          <w:iCs/>
        </w:rPr>
        <w:t xml:space="preserve">” </w:t>
      </w:r>
      <w:r>
        <w:rPr>
          <w:rFonts w:ascii="Calibri" w:hAnsi="Calibri" w:cs="Calibri"/>
        </w:rPr>
        <w:t>workshop to support Olentangy School teachers seeking to diversity their K-12 curriculum</w:t>
      </w:r>
      <w:r w:rsidR="00B7044F">
        <w:rPr>
          <w:rFonts w:ascii="Calibri" w:hAnsi="Calibri" w:cs="Calibri"/>
        </w:rPr>
        <w:t xml:space="preserve"> presented at the ONE Community Conference Equity and Inclusion Conference</w:t>
      </w:r>
      <w:r>
        <w:rPr>
          <w:rFonts w:ascii="Calibri" w:hAnsi="Calibri" w:cs="Calibri"/>
        </w:rPr>
        <w:t xml:space="preserve">. </w:t>
      </w:r>
      <w:r w:rsidR="00366D4F" w:rsidRPr="006A160F">
        <w:t>Th</w:t>
      </w:r>
      <w:r w:rsidR="00366D4F">
        <w:t xml:space="preserve">e </w:t>
      </w:r>
      <w:r w:rsidR="00366D4F" w:rsidRPr="006A160F">
        <w:t xml:space="preserve">workshop lead K-12 educators through a replicable active learning activity and discussion using </w:t>
      </w:r>
      <w:r w:rsidR="004A6FFF">
        <w:t>primary sources</w:t>
      </w:r>
      <w:r w:rsidR="00366D4F" w:rsidRPr="006A160F">
        <w:t xml:space="preserve"> from the Ohio State University Rare Books &amp; Manuscript Library and the Center for Latin American Studies’ Andean and Amazonian Cultural Artifact Collection. </w:t>
      </w:r>
      <w:r w:rsidR="005A249F">
        <w:t xml:space="preserve">Participants were asked to reflect on the </w:t>
      </w:r>
      <w:r w:rsidR="004A6FFF">
        <w:t>works’</w:t>
      </w:r>
      <w:r w:rsidR="005A249F">
        <w:t xml:space="preserve"> </w:t>
      </w:r>
      <w:r w:rsidR="005A249F" w:rsidRPr="006A160F">
        <w:t xml:space="preserve">authors, producers, and users </w:t>
      </w:r>
      <w:r w:rsidR="004A6FFF">
        <w:t xml:space="preserve">by </w:t>
      </w:r>
      <w:r w:rsidR="000B0DD5">
        <w:t>examining an</w:t>
      </w:r>
      <w:r w:rsidR="004A6FFF">
        <w:t xml:space="preserve"> item’s </w:t>
      </w:r>
      <w:r w:rsidR="005A249F" w:rsidRPr="006A160F">
        <w:t xml:space="preserve">physical characteristics, as well as the materials used to create, preserve, and facilitate </w:t>
      </w:r>
      <w:r w:rsidR="004A6FFF">
        <w:t>their</w:t>
      </w:r>
      <w:r w:rsidR="005A249F" w:rsidRPr="006A160F">
        <w:t xml:space="preserve"> use. </w:t>
      </w:r>
      <w:r w:rsidR="000B0DD5">
        <w:t>The workshop focused on introducing</w:t>
      </w:r>
      <w:r w:rsidR="005A249F">
        <w:t xml:space="preserve"> </w:t>
      </w:r>
      <w:r w:rsidR="005A249F">
        <w:rPr>
          <w:sz w:val="22"/>
          <w:szCs w:val="22"/>
        </w:rPr>
        <w:t xml:space="preserve">non-western </w:t>
      </w:r>
      <w:r w:rsidR="000B0DD5">
        <w:rPr>
          <w:sz w:val="22"/>
          <w:szCs w:val="22"/>
        </w:rPr>
        <w:t>methods of</w:t>
      </w:r>
      <w:r w:rsidR="005A249F">
        <w:rPr>
          <w:sz w:val="22"/>
          <w:szCs w:val="22"/>
        </w:rPr>
        <w:t xml:space="preserve"> observation and inquiry</w:t>
      </w:r>
      <w:r w:rsidR="000B0DD5">
        <w:rPr>
          <w:sz w:val="22"/>
          <w:szCs w:val="22"/>
        </w:rPr>
        <w:t xml:space="preserve"> in order to</w:t>
      </w:r>
      <w:r w:rsidR="005A249F">
        <w:rPr>
          <w:sz w:val="22"/>
          <w:szCs w:val="22"/>
        </w:rPr>
        <w:t xml:space="preserve"> engage with primary sources in new ways and </w:t>
      </w:r>
      <w:r w:rsidR="005E2E2C">
        <w:rPr>
          <w:sz w:val="22"/>
          <w:szCs w:val="22"/>
        </w:rPr>
        <w:t xml:space="preserve">explore </w:t>
      </w:r>
      <w:r w:rsidR="005A249F">
        <w:rPr>
          <w:sz w:val="22"/>
          <w:szCs w:val="22"/>
        </w:rPr>
        <w:t xml:space="preserve">the richness of alternative literacies. </w:t>
      </w:r>
      <w:r w:rsidR="005E2E2C">
        <w:t xml:space="preserve">Each attendee left with curricular </w:t>
      </w:r>
      <w:r w:rsidR="005E2E2C" w:rsidRPr="006A160F">
        <w:t xml:space="preserve">tools </w:t>
      </w:r>
      <w:r w:rsidR="005E2E2C">
        <w:t>that could be</w:t>
      </w:r>
      <w:r w:rsidR="005E2E2C" w:rsidRPr="006A160F">
        <w:t xml:space="preserve"> integrate</w:t>
      </w:r>
      <w:r w:rsidR="005E2E2C">
        <w:t>d</w:t>
      </w:r>
      <w:r w:rsidR="005E2E2C" w:rsidRPr="006A160F">
        <w:t xml:space="preserve"> into their </w:t>
      </w:r>
      <w:r w:rsidR="005E2E2C">
        <w:t>future</w:t>
      </w:r>
      <w:r w:rsidR="005E2E2C" w:rsidRPr="006A160F">
        <w:t xml:space="preserve"> lesson plans</w:t>
      </w:r>
    </w:p>
    <w:p w14:paraId="1F7F43E9" w14:textId="77777777" w:rsidR="000B0DD5" w:rsidRDefault="000B0DD5" w:rsidP="0029119A">
      <w:pPr>
        <w:rPr>
          <w:sz w:val="22"/>
          <w:szCs w:val="22"/>
        </w:rPr>
      </w:pPr>
    </w:p>
    <w:p w14:paraId="233CA768" w14:textId="65982D65" w:rsidR="00C44E12" w:rsidRPr="0029119A" w:rsidRDefault="000B0DD5" w:rsidP="0029119A">
      <w:r>
        <w:rPr>
          <w:sz w:val="22"/>
          <w:szCs w:val="22"/>
        </w:rPr>
        <w:t>T</w:t>
      </w:r>
      <w:r w:rsidR="005A249F">
        <w:rPr>
          <w:sz w:val="22"/>
          <w:szCs w:val="22"/>
        </w:rPr>
        <w:t xml:space="preserve">he workshop </w:t>
      </w:r>
      <w:r>
        <w:rPr>
          <w:sz w:val="22"/>
          <w:szCs w:val="22"/>
        </w:rPr>
        <w:t>modeled</w:t>
      </w:r>
      <w:r w:rsidR="005A249F" w:rsidRPr="006A160F">
        <w:t xml:space="preserve"> </w:t>
      </w:r>
      <w:r w:rsidR="005A249F" w:rsidRPr="005F4326">
        <w:t xml:space="preserve">respectful and ethical approaches to working with indigenous knowledge </w:t>
      </w:r>
      <w:r w:rsidR="005E2E2C">
        <w:t>works</w:t>
      </w:r>
      <w:r w:rsidR="005A249F">
        <w:t xml:space="preserve"> through the practice of cultural humility</w:t>
      </w:r>
      <w:r w:rsidR="005A249F" w:rsidRPr="005F4326">
        <w:t>.</w:t>
      </w:r>
      <w:r w:rsidR="005A249F">
        <w:t xml:space="preserve"> </w:t>
      </w:r>
      <w:r w:rsidR="00C44E12">
        <w:t>The ONE Community Conference gather</w:t>
      </w:r>
      <w:r w:rsidR="005E2E2C">
        <w:t>ed</w:t>
      </w:r>
      <w:r w:rsidR="00C44E12">
        <w:t xml:space="preserve"> over 450 central Ohio students, teachers, parents, and local students to address equity and inclusion </w:t>
      </w:r>
      <w:r w:rsidR="00C44E12">
        <w:lastRenderedPageBreak/>
        <w:t>in Olentangy schools and communities.</w:t>
      </w:r>
      <w:r w:rsidR="005A249F">
        <w:t xml:space="preserve"> Seven participants participated in the</w:t>
      </w:r>
      <w:r>
        <w:t xml:space="preserve"> “</w:t>
      </w:r>
      <w:r w:rsidRPr="000B0DD5">
        <w:rPr>
          <w:i/>
          <w:iCs/>
        </w:rPr>
        <w:t xml:space="preserve">Portals to the </w:t>
      </w:r>
      <w:r>
        <w:rPr>
          <w:i/>
          <w:iCs/>
        </w:rPr>
        <w:t>P</w:t>
      </w:r>
      <w:r w:rsidRPr="000B0DD5">
        <w:rPr>
          <w:i/>
          <w:iCs/>
        </w:rPr>
        <w:t xml:space="preserve">ast and </w:t>
      </w:r>
      <w:r>
        <w:rPr>
          <w:i/>
          <w:iCs/>
        </w:rPr>
        <w:t>P</w:t>
      </w:r>
      <w:r w:rsidRPr="000B0DD5">
        <w:rPr>
          <w:i/>
          <w:iCs/>
        </w:rPr>
        <w:t>resent</w:t>
      </w:r>
      <w:r>
        <w:rPr>
          <w:i/>
          <w:iCs/>
        </w:rPr>
        <w:t>”</w:t>
      </w:r>
      <w:r w:rsidR="005A249F">
        <w:t xml:space="preserve"> workshop including elementary, middle and high school teachers.</w:t>
      </w:r>
    </w:p>
    <w:p w14:paraId="41238B50" w14:textId="0BA4408D" w:rsidR="00C44E12" w:rsidRDefault="00C44E12" w:rsidP="004C3B2F">
      <w:pPr>
        <w:rPr>
          <w:rFonts w:ascii="Calibri" w:hAnsi="Calibri" w:cs="Calibri"/>
        </w:rPr>
      </w:pPr>
    </w:p>
    <w:p w14:paraId="6783CBD3" w14:textId="78628A9B" w:rsidR="005A249F" w:rsidRDefault="005A249F" w:rsidP="0029119A">
      <w:pPr>
        <w:pStyle w:val="ListParagraph"/>
        <w:numPr>
          <w:ilvl w:val="0"/>
          <w:numId w:val="5"/>
        </w:numPr>
      </w:pPr>
      <w:r>
        <w:t>“This workshop provides me with an idea about alternative texts I can use to engage my middle schoolers who are not impressed with traditional text”.</w:t>
      </w:r>
    </w:p>
    <w:p w14:paraId="5CB1976F" w14:textId="1288D2E3" w:rsidR="005A249F" w:rsidRDefault="005A249F" w:rsidP="0029119A">
      <w:pPr>
        <w:pStyle w:val="ListParagraph"/>
        <w:ind w:left="360"/>
      </w:pPr>
      <w:r>
        <w:t>--ONE Community Workshop participant</w:t>
      </w:r>
    </w:p>
    <w:p w14:paraId="0D048EE8" w14:textId="77777777" w:rsidR="005F2E11" w:rsidRDefault="005F2E11" w:rsidP="005F2E11">
      <w:pPr>
        <w:rPr>
          <w:rFonts w:ascii="Calibri" w:hAnsi="Calibri" w:cs="Calibri"/>
        </w:rPr>
      </w:pPr>
    </w:p>
    <w:p w14:paraId="10D79C91" w14:textId="77777777" w:rsidR="00DA48B6" w:rsidRDefault="0029119A" w:rsidP="00DA48B6">
      <w:r>
        <w:rPr>
          <w:rFonts w:ascii="Calibri" w:hAnsi="Calibri" w:cs="Calibri"/>
        </w:rPr>
        <w:t>Access</w:t>
      </w:r>
      <w:r w:rsidR="005F2E11">
        <w:rPr>
          <w:rFonts w:ascii="Calibri" w:hAnsi="Calibri" w:cs="Calibri"/>
        </w:rPr>
        <w:t xml:space="preserve"> the </w:t>
      </w:r>
      <w:r>
        <w:rPr>
          <w:rFonts w:ascii="Calibri" w:hAnsi="Calibri" w:cs="Calibri"/>
        </w:rPr>
        <w:t xml:space="preserve">workshop </w:t>
      </w:r>
      <w:r w:rsidR="005F2E11">
        <w:rPr>
          <w:rFonts w:ascii="Calibri" w:hAnsi="Calibri" w:cs="Calibri"/>
        </w:rPr>
        <w:t>presentation slides, handouts, and in-depth resources about concepts covered in the workshop</w:t>
      </w:r>
      <w:r>
        <w:rPr>
          <w:rFonts w:ascii="Calibri" w:hAnsi="Calibri" w:cs="Calibri"/>
        </w:rPr>
        <w:t xml:space="preserve">: </w:t>
      </w:r>
      <w:r w:rsidR="005F2E11">
        <w:rPr>
          <w:rFonts w:ascii="Calibri" w:hAnsi="Calibri" w:cs="Calibri"/>
        </w:rPr>
        <w:t xml:space="preserve"> </w:t>
      </w:r>
      <w:hyperlink r:id="rId6" w:anchor="s-lg-page-section-7230298" w:history="1">
        <w:r w:rsidR="00DA48B6">
          <w:rPr>
            <w:rStyle w:val="Hyperlink"/>
          </w:rPr>
          <w:t>https://guides.osu.edu/onecommunity2020#s-lg-page-section-7230298</w:t>
        </w:r>
      </w:hyperlink>
    </w:p>
    <w:p w14:paraId="496EF247" w14:textId="3A9E1761" w:rsidR="005F2E11" w:rsidRPr="003D18A9" w:rsidRDefault="005F2E11" w:rsidP="005F2E11">
      <w:pPr>
        <w:rPr>
          <w:rFonts w:ascii="Calibri" w:hAnsi="Calibri" w:cs="Calibri"/>
        </w:rPr>
      </w:pPr>
    </w:p>
    <w:p w14:paraId="67092A6F" w14:textId="0253B3EB" w:rsidR="004C3B2F" w:rsidRPr="003D18A9" w:rsidRDefault="004C3B2F" w:rsidP="004C3B2F">
      <w:pPr>
        <w:rPr>
          <w:rFonts w:ascii="Calibri" w:hAnsi="Calibri" w:cs="Calibri"/>
        </w:rPr>
      </w:pPr>
    </w:p>
    <w:p w14:paraId="1C194684" w14:textId="02D45385" w:rsidR="00DF6505" w:rsidRPr="003D18A9" w:rsidRDefault="00617DE4" w:rsidP="00DF6505">
      <w:pPr>
        <w:rPr>
          <w:rFonts w:ascii="Calibri" w:hAnsi="Calibri" w:cs="Calibri"/>
        </w:rPr>
      </w:pPr>
      <w:r>
        <w:rPr>
          <w:noProof/>
        </w:rPr>
        <w:drawing>
          <wp:inline distT="0" distB="0" distL="0" distR="0" wp14:anchorId="2694C63F" wp14:editId="348629D2">
            <wp:extent cx="4902200" cy="2070100"/>
            <wp:effectExtent l="0" t="0" r="0" b="0"/>
            <wp:docPr id="3" name="Picture 3" descr="A group of people sitting at a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051.jpg"/>
                    <pic:cNvPicPr/>
                  </pic:nvPicPr>
                  <pic:blipFill rotWithShape="1">
                    <a:blip r:embed="rId7" cstate="print">
                      <a:extLst>
                        <a:ext uri="{28A0092B-C50C-407E-A947-70E740481C1C}">
                          <a14:useLocalDpi xmlns:a14="http://schemas.microsoft.com/office/drawing/2010/main" val="0"/>
                        </a:ext>
                      </a:extLst>
                    </a:blip>
                    <a:srcRect l="3846" t="36182" r="13676" b="17379"/>
                    <a:stretch/>
                  </pic:blipFill>
                  <pic:spPr bwMode="auto">
                    <a:xfrm>
                      <a:off x="0" y="0"/>
                      <a:ext cx="4902200" cy="2070100"/>
                    </a:xfrm>
                    <a:prstGeom prst="rect">
                      <a:avLst/>
                    </a:prstGeom>
                    <a:ln>
                      <a:noFill/>
                    </a:ln>
                    <a:extLst>
                      <a:ext uri="{53640926-AAD7-44D8-BBD7-CCE9431645EC}">
                        <a14:shadowObscured xmlns:a14="http://schemas.microsoft.com/office/drawing/2010/main"/>
                      </a:ext>
                    </a:extLst>
                  </pic:spPr>
                </pic:pic>
              </a:graphicData>
            </a:graphic>
          </wp:inline>
        </w:drawing>
      </w:r>
    </w:p>
    <w:sectPr w:rsidR="00DF6505" w:rsidRPr="003D18A9" w:rsidSect="00EE6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1F7F75"/>
    <w:multiLevelType w:val="hybridMultilevel"/>
    <w:tmpl w:val="247E51D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5A54368"/>
    <w:multiLevelType w:val="hybridMultilevel"/>
    <w:tmpl w:val="28E41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E827FF"/>
    <w:multiLevelType w:val="hybridMultilevel"/>
    <w:tmpl w:val="1F9CE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2501B7"/>
    <w:multiLevelType w:val="hybridMultilevel"/>
    <w:tmpl w:val="00C25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907C07"/>
    <w:multiLevelType w:val="hybridMultilevel"/>
    <w:tmpl w:val="2AFEB29C"/>
    <w:lvl w:ilvl="0" w:tplc="333864B6">
      <w:start w:val="1"/>
      <w:numFmt w:val="decimal"/>
      <w:lvlText w:val="%1)"/>
      <w:lvlJc w:val="left"/>
      <w:pPr>
        <w:ind w:left="1080" w:hanging="720"/>
      </w:pPr>
      <w:rPr>
        <w:rFonts w:hint="default"/>
      </w:rPr>
    </w:lvl>
    <w:lvl w:ilvl="1" w:tplc="AF586DA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0D"/>
    <w:rsid w:val="000930D2"/>
    <w:rsid w:val="000B0DD5"/>
    <w:rsid w:val="000C0793"/>
    <w:rsid w:val="00157029"/>
    <w:rsid w:val="0017610A"/>
    <w:rsid w:val="001D0F70"/>
    <w:rsid w:val="0021679E"/>
    <w:rsid w:val="0029119A"/>
    <w:rsid w:val="002F7663"/>
    <w:rsid w:val="003372D1"/>
    <w:rsid w:val="00366D4F"/>
    <w:rsid w:val="003A3668"/>
    <w:rsid w:val="003D18A9"/>
    <w:rsid w:val="003F72D2"/>
    <w:rsid w:val="00422D0D"/>
    <w:rsid w:val="004A6FFF"/>
    <w:rsid w:val="004C23A2"/>
    <w:rsid w:val="004C3B2F"/>
    <w:rsid w:val="005A249F"/>
    <w:rsid w:val="005E2E2C"/>
    <w:rsid w:val="005F2E11"/>
    <w:rsid w:val="00617DE4"/>
    <w:rsid w:val="00744D06"/>
    <w:rsid w:val="00764D55"/>
    <w:rsid w:val="00775A1F"/>
    <w:rsid w:val="008102BA"/>
    <w:rsid w:val="009D1C59"/>
    <w:rsid w:val="009D5E9F"/>
    <w:rsid w:val="00AF3338"/>
    <w:rsid w:val="00B7044F"/>
    <w:rsid w:val="00BC3F03"/>
    <w:rsid w:val="00C4108D"/>
    <w:rsid w:val="00C43B6D"/>
    <w:rsid w:val="00C44E12"/>
    <w:rsid w:val="00C86FB2"/>
    <w:rsid w:val="00CC7A73"/>
    <w:rsid w:val="00D1010D"/>
    <w:rsid w:val="00D659A3"/>
    <w:rsid w:val="00DA48B6"/>
    <w:rsid w:val="00DF6505"/>
    <w:rsid w:val="00E25A2B"/>
    <w:rsid w:val="00E27DC0"/>
    <w:rsid w:val="00E94994"/>
    <w:rsid w:val="00EE6E42"/>
    <w:rsid w:val="00F45259"/>
    <w:rsid w:val="00F64BE5"/>
    <w:rsid w:val="00FA7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994"/>
    <w:pPr>
      <w:ind w:left="720"/>
      <w:contextualSpacing/>
    </w:pPr>
  </w:style>
  <w:style w:type="paragraph" w:styleId="BalloonText">
    <w:name w:val="Balloon Text"/>
    <w:basedOn w:val="Normal"/>
    <w:link w:val="BalloonTextChar"/>
    <w:uiPriority w:val="99"/>
    <w:semiHidden/>
    <w:unhideWhenUsed/>
    <w:rsid w:val="004C3B2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C3B2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C3B2F"/>
    <w:rPr>
      <w:sz w:val="16"/>
      <w:szCs w:val="16"/>
    </w:rPr>
  </w:style>
  <w:style w:type="paragraph" w:styleId="CommentText">
    <w:name w:val="annotation text"/>
    <w:basedOn w:val="Normal"/>
    <w:link w:val="CommentTextChar"/>
    <w:uiPriority w:val="99"/>
    <w:semiHidden/>
    <w:unhideWhenUsed/>
    <w:rsid w:val="004C3B2F"/>
    <w:rPr>
      <w:sz w:val="20"/>
      <w:szCs w:val="20"/>
    </w:rPr>
  </w:style>
  <w:style w:type="character" w:customStyle="1" w:styleId="CommentTextChar">
    <w:name w:val="Comment Text Char"/>
    <w:basedOn w:val="DefaultParagraphFont"/>
    <w:link w:val="CommentText"/>
    <w:uiPriority w:val="99"/>
    <w:semiHidden/>
    <w:rsid w:val="004C3B2F"/>
    <w:rPr>
      <w:sz w:val="20"/>
      <w:szCs w:val="20"/>
    </w:rPr>
  </w:style>
  <w:style w:type="paragraph" w:styleId="CommentSubject">
    <w:name w:val="annotation subject"/>
    <w:basedOn w:val="CommentText"/>
    <w:next w:val="CommentText"/>
    <w:link w:val="CommentSubjectChar"/>
    <w:uiPriority w:val="99"/>
    <w:semiHidden/>
    <w:unhideWhenUsed/>
    <w:rsid w:val="004C3B2F"/>
    <w:rPr>
      <w:b/>
      <w:bCs/>
    </w:rPr>
  </w:style>
  <w:style w:type="character" w:customStyle="1" w:styleId="CommentSubjectChar">
    <w:name w:val="Comment Subject Char"/>
    <w:basedOn w:val="CommentTextChar"/>
    <w:link w:val="CommentSubject"/>
    <w:uiPriority w:val="99"/>
    <w:semiHidden/>
    <w:rsid w:val="004C3B2F"/>
    <w:rPr>
      <w:b/>
      <w:bCs/>
      <w:sz w:val="20"/>
      <w:szCs w:val="20"/>
    </w:rPr>
  </w:style>
  <w:style w:type="paragraph" w:customStyle="1" w:styleId="xmsonormal">
    <w:name w:val="x_msonormal"/>
    <w:basedOn w:val="Normal"/>
    <w:rsid w:val="00366D4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A249F"/>
    <w:rPr>
      <w:color w:val="0563C1" w:themeColor="hyperlink"/>
      <w:u w:val="single"/>
    </w:rPr>
  </w:style>
  <w:style w:type="character" w:styleId="FollowedHyperlink">
    <w:name w:val="FollowedHyperlink"/>
    <w:basedOn w:val="DefaultParagraphFont"/>
    <w:uiPriority w:val="99"/>
    <w:semiHidden/>
    <w:unhideWhenUsed/>
    <w:rsid w:val="005A24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68487">
      <w:bodyDiv w:val="1"/>
      <w:marLeft w:val="0"/>
      <w:marRight w:val="0"/>
      <w:marTop w:val="0"/>
      <w:marBottom w:val="0"/>
      <w:divBdr>
        <w:top w:val="none" w:sz="0" w:space="0" w:color="auto"/>
        <w:left w:val="none" w:sz="0" w:space="0" w:color="auto"/>
        <w:bottom w:val="none" w:sz="0" w:space="0" w:color="auto"/>
        <w:right w:val="none" w:sz="0" w:space="0" w:color="auto"/>
      </w:divBdr>
    </w:div>
    <w:div w:id="198051863">
      <w:bodyDiv w:val="1"/>
      <w:marLeft w:val="0"/>
      <w:marRight w:val="0"/>
      <w:marTop w:val="0"/>
      <w:marBottom w:val="0"/>
      <w:divBdr>
        <w:top w:val="none" w:sz="0" w:space="0" w:color="auto"/>
        <w:left w:val="none" w:sz="0" w:space="0" w:color="auto"/>
        <w:bottom w:val="none" w:sz="0" w:space="0" w:color="auto"/>
        <w:right w:val="none" w:sz="0" w:space="0" w:color="auto"/>
      </w:divBdr>
    </w:div>
    <w:div w:id="1398241021">
      <w:bodyDiv w:val="1"/>
      <w:marLeft w:val="0"/>
      <w:marRight w:val="0"/>
      <w:marTop w:val="0"/>
      <w:marBottom w:val="0"/>
      <w:divBdr>
        <w:top w:val="none" w:sz="0" w:space="0" w:color="auto"/>
        <w:left w:val="none" w:sz="0" w:space="0" w:color="auto"/>
        <w:bottom w:val="none" w:sz="0" w:space="0" w:color="auto"/>
        <w:right w:val="none" w:sz="0" w:space="0" w:color="auto"/>
      </w:divBdr>
    </w:div>
    <w:div w:id="1706910381">
      <w:bodyDiv w:val="1"/>
      <w:marLeft w:val="0"/>
      <w:marRight w:val="0"/>
      <w:marTop w:val="0"/>
      <w:marBottom w:val="0"/>
      <w:divBdr>
        <w:top w:val="none" w:sz="0" w:space="0" w:color="auto"/>
        <w:left w:val="none" w:sz="0" w:space="0" w:color="auto"/>
        <w:bottom w:val="none" w:sz="0" w:space="0" w:color="auto"/>
        <w:right w:val="none" w:sz="0" w:space="0" w:color="auto"/>
      </w:divBdr>
    </w:div>
    <w:div w:id="1755275778">
      <w:bodyDiv w:val="1"/>
      <w:marLeft w:val="0"/>
      <w:marRight w:val="0"/>
      <w:marTop w:val="0"/>
      <w:marBottom w:val="0"/>
      <w:divBdr>
        <w:top w:val="none" w:sz="0" w:space="0" w:color="auto"/>
        <w:left w:val="none" w:sz="0" w:space="0" w:color="auto"/>
        <w:bottom w:val="none" w:sz="0" w:space="0" w:color="auto"/>
        <w:right w:val="none" w:sz="0" w:space="0" w:color="auto"/>
      </w:divBdr>
    </w:div>
    <w:div w:id="1920678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uides.osu.edu/onecommunity202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Mitchel, Andrew P.</cp:lastModifiedBy>
  <cp:revision>2</cp:revision>
  <dcterms:created xsi:type="dcterms:W3CDTF">2021-04-20T02:14:00Z</dcterms:created>
  <dcterms:modified xsi:type="dcterms:W3CDTF">2021-04-20T02:14:00Z</dcterms:modified>
</cp:coreProperties>
</file>